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BF" w:rsidRDefault="00062CBF">
      <w:pPr>
        <w:rPr>
          <w:noProof/>
          <w:lang w:val="en-US" w:eastAsia="ru-RU"/>
        </w:rPr>
      </w:pPr>
    </w:p>
    <w:p w:rsidR="004B6C96" w:rsidRDefault="00062C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192555"/>
            <wp:effectExtent l="19050" t="0" r="3175" b="0"/>
            <wp:docPr id="1" name="Рисунок 1" descr="Ð¿Ð¾Ð´ÑÐµÐ¼Ð½Ð°Ñ ÐºÑÐ¾Ð²Ð°ÑÑ, Ð¿Ð°ÑÐµÐ½Ñ â 241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¿Ð¾Ð´ÑÐµÐ¼Ð½Ð°Ñ ÐºÑÐ¾Ð²Ð°ÑÑ, Ð¿Ð°ÑÐµÐ½Ñ â 24134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BF" w:rsidRDefault="00062CBF">
      <w:pPr>
        <w:rPr>
          <w:lang w:val="en-US"/>
        </w:rPr>
      </w:pPr>
    </w:p>
    <w:p w:rsidR="00062CBF" w:rsidRDefault="00062CBF">
      <w:pPr>
        <w:rPr>
          <w:lang w:val="en-US"/>
        </w:rPr>
      </w:pPr>
    </w:p>
    <w:p w:rsidR="00062CBF" w:rsidRDefault="00062C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6455986"/>
            <wp:effectExtent l="19050" t="0" r="3175" b="0"/>
            <wp:docPr id="4" name="Рисунок 4" descr="Ð¿Ð¾Ð´ÑÐµÐ¼Ð½Ð°Ñ ÐºÑÐ¾Ð²Ð°ÑÑ, Ð¿Ð°ÑÐµÐ½Ñ â 241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¿Ð¾Ð´ÑÐµÐ¼Ð½Ð°Ñ ÐºÑÐ¾Ð²Ð°ÑÑ, Ð¿Ð°ÑÐµÐ½Ñ â 24134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5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BF" w:rsidRDefault="00062CBF">
      <w:pPr>
        <w:rPr>
          <w:lang w:val="en-US"/>
        </w:rPr>
      </w:pPr>
    </w:p>
    <w:p w:rsidR="00062CBF" w:rsidRDefault="00062CBF">
      <w:pPr>
        <w:rPr>
          <w:lang w:val="en-US"/>
        </w:rPr>
      </w:pPr>
    </w:p>
    <w:p w:rsidR="00062CBF" w:rsidRDefault="00062C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223644"/>
            <wp:effectExtent l="19050" t="0" r="3175" b="0"/>
            <wp:docPr id="7" name="Рисунок 7" descr="Ð¿Ð¾Ð´ÑÐµÐ¼Ð½Ð°Ñ ÐºÑÐ¾Ð²Ð°ÑÑ, Ð¿Ð°ÑÐµÐ½Ñ â 241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¿Ð¾Ð´ÑÐµÐ¼Ð½Ð°Ñ ÐºÑÐ¾Ð²Ð°ÑÑ, Ð¿Ð°ÑÐµÐ½Ñ â 24134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BF" w:rsidRDefault="00062CBF">
      <w:pPr>
        <w:rPr>
          <w:lang w:val="en-US"/>
        </w:rPr>
      </w:pPr>
    </w:p>
    <w:p w:rsidR="00062CBF" w:rsidRDefault="00062CBF">
      <w:pPr>
        <w:rPr>
          <w:lang w:val="en-US"/>
        </w:rPr>
      </w:pPr>
    </w:p>
    <w:p w:rsidR="00062CBF" w:rsidRDefault="00062C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Изобретение относится к изделиям легкой промышленности, а именно к предметам бытовой мебели, в частности к кроватям, и направлено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максимальное высвобождение полезной площади. Подъемная кровать содержит каркас с матрасом и механизм перемещения каркаса. Механизм перемещения каркаса включает самотормозящуюся лебедку и направляющие элементы с вертикальными или горизонтальными осями вращения, взаимодействующими с гибкой связью. Все направляющие элементы располагаются на потолке. Направляющие элементы с горизонтальными осями вращения находятся на траектории перемещения вертикальных участков гибкой связи и напротив крепежных элементов, которые закреплены на каркасе. В случае увеличения высоты потолка помещения на горизонтальном участке гибкой связи, находящемся между лебедкой и направляющим элементом,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устанавливается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крайней мере один направляющий элемент с вертикальной осью вращения. Гибкая связь соединяет каркас с лебедкой. Гибкая связь включает горизонтальные потолочные и вертикальные участки. Вертикальные участки гибкой связи располагаются на траектории перемещения углов каркаса, равны между собой и каждый из них по высоте не превышает длину горизонтального участка, расположенного между лебедкой и направляющим элементом. Каркас дополнительно содержит опорные ножки. 5 ил.</w:t>
      </w:r>
    </w:p>
    <w:p w:rsidR="00062CBF" w:rsidRDefault="00062CBF">
      <w:pPr>
        <w:rPr>
          <w:lang w:val="en-US"/>
        </w:rPr>
      </w:pP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 числа первых известна кровать, которая содержит элементы корпусной мебели: боковые панели, крышу и элементы фасадной облицовки, каркас для матраса с деталями ограждения, механизм трансформации кровати, опорные ножки [1]. Механизм трансформации кровати выполнен в виде узла поворота каркаса с противовесом. Кровать дополнительно снабжена Г-образной подвижной задней спинкой с возможностью ее перемещения по вертикальным направляющим, размещенным на боковых панелях.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Известна также конструкция, представляющая собой шкаф с откидной кроватью, состоящая из боковин, крышки, задней стенки, дверного щита, рамы кровати [2]. Рама кровати состоит из двух шарнирно соединенных частей. Неподвижная часть закреплена на боковинах шкафа и выполняет функцию дна шкафа. Трансформируемая часть рамы соединена с дверным щитом при помощи стоек. Матрас состоит из двух частей, съемный. Средства трансформации состоят из пружин, взаимодействующих с неподвижной и трансформируемой частями рамы кровати. Ножки кровати выдвижные, трансформируемые при помощи телескопических трубчатых элементов и тяги, взаимодействующей с неподвижной частью рамы кровати.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рассматриваемой разновидности изделий относится также кровать [3], содержащая основание, которое поддерживается по одной своей кромке вертикальной рамной конструкцией и может быть опущено вниз в положение пользования или поднято вверх вдоль одной из сторон рамной конструкции в положение хранения, сохраняя при этом по существу горизонтальное положение. На противоположной стороне рамной конструкции установлен другой элемент мебели, который предназначен для пользования в дневное время. Для облегчения перемещения основания в конструкцию входит механизм в виде противовеса, связанный с соответствующей системой гибкими связями и шкивами.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Существенным недостатком рассмотренного типа кроватей является громоздкость их конструкции, а также сложность и дороговизна конструкции узлов их трансформации и фиксации в вертикальном положении. Кроме того, такие кровати неудобны при использовании вследствие их достаточно сложной трансформации. А необходимость уравновешивания кровати другим элементом мебели сказывается на ее недостаточной устойчивости и надежности при эксплуатации.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 числа откидных (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складывающихся-раскладывающихся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)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пристенных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известна кровать, включающая раму с матрасом, которая крепится с помощью двух шарниров, закрепленных на углах рамы, примыкающих к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пристенной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стороне рамы [4]. К этим же кронштейнам шарнирно крепятся тяги, противоположные концы которых также шарнирно и симметрично крепятся к боковым сторонам рамы, образуя ось вращения рамы, параллельную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пристенной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ее стороне.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Известна также откидная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пристенная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кровать, содержащая раму в виде прямоугольной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пристенной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конструкции, на которой располагается постель с матрасом [5]. К стене прикреплен кронштейн, к которому шарнирно закреплена тяга, также шарнирно закрепленная к боковой стороне рамы. К стене прикреплена стойка, по боковой поверхности которой перекатывается роликовая опора. После того как роликовая опора достигает верха стойки, она перекатывается на верхнюю торцевую поверхность стойки и занимает рабочее положение. При этом у дальней от стены стороны рамы откидываются опорные ножки, 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пристенная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сторона рамы плотно входит между клиновидными упорами, выполняющими функцию фиксаторов крайнего положения каркаса.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Кроме того, известна откидная кровать, содержащая два каркаса с мягкими элементами, шарнирно соединенными между собой [6]. Роликовые опоры, закрепленные на кронштейнах, придают легкую подвижность мягким элементам по направляющим, закрепленным на основании. Основание имеет поворотные опорные элементы, на которые раскрывается кровать. Между поверхностями направляющих и несущей поверхностью основания имеется перепад высот, за счет которого в крайней точке роликовые опоры поднимаются над рабочей поверхностью направляющих. Для облегчения скольжения в крайней точке, когда движение с роликовых опор переходит на основание, предусмотрены металлические полосы и уголки.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Как видно, рассмотренные разновидности кроватей отличаются при улучшенном эксплуатационном качестве довольно сложной конструкцией. Для перевода кровати из положения хранения в положение пользования и обратно в одной из конструкций используется достаточно сложная и ненадежная система торсионных пружинных элементов. В результате, при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сколь-либо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значительном весе рамы с матрасом при изменении положения кровати требуется приложение значительных усилий.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тому же такие кровати недостаточно компактны из-за того, что в сложенном состоянии занимают значительное место на полу, равное, как минимум, высоте кровати в положении пользования.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качестве прототипа принята подъемная кровать, содержащая каркас с матрасом и механизм перемещения каркаса, выполненный с возможностью вертикального возвратно-поступательного перемещения и содержащий гибкие связи, соединяющие каркас с противовесом, а также направляющие элементы, взаимодействующие с гибкими связями [7]. Гибкие связи объединены в одну гибкую связь, включающую три пары вертикальных участков, расположенных на траектории перемещения трех углов каркаса, и две пары горизонтальных участков, параллельных смежным сторонам каркаса и расположенных на одном уровне. Каркас по углам жестко соединен с вертикальными участками гибкой связи, а направляющие элементы содержат три пары канатных блоков с горизонтальными осями вращения, расположенными над тремя углами каркаса, и один канатный блок с вертикальной осью вращения. Противовес жестко закреплен на двух смежных вертикальных участках гибкой связи с возможностью перемещения в направлении, противоположном направлению перемещения каркаса. Горизонтальные участки гибких связей расположены на уровне пола и потолка.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Подъем указанной кровати осуществляется с помощью противовеса или лебедки с ручным или электромеханическим приводом.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Механизм перемещения каркаса позволяет достаточно легко осуществлять вертикальное возвратно-поступательное перемещение каркаса до уровня потолка, полностью высвобождая при его верхнем положении участок пола, занимаемый им в нижнем положении.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Конструкция механизма перемещения каркаса содержит компактную и не занимающую много места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трособлочную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систему. Однако крепятся элементы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трособлочной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системы на потолке и на полу непосредственно у двух смежных стен или у одной стены и дополнительно установленной стойки у одного из углов каркаса, находящегося на противоположной от стены стороне. Это хотя и обеспечивает высвобождение пространства в результате подъема кровати к потолку, но привязывает конструкцию к определенному месту расположения в помещении. При установке такой кровати необходимо найти определенное место в пространстве комнаты, где свободны две смежные стены. Или же устанавливать прочную стойку у одного из углов каркаса. Однако в условиях современных малогабаритных помещений сделать это практически невозможно.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тому же необходимость уравновешивания кровати противовесом сказывается на ее недостаточной устойчивости и надежности при эксплуатации.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Целью изобретения является создание кровати, которая бы отличалась простотой конструкции, удобством и надежностью при эксплуатации, а также была компактной в положении хранения и обеспечивала максимальное высвобождение полезной площади в помещениях с низкими, средними или высокими потолками.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Достижение указанной цели обеспечивается за счет создания подъемной кровати, содержащей каркас 1 с матрасом 2 и механизм перемещения каркаса.</w:t>
      </w:r>
    </w:p>
    <w:p w:rsidR="00062CBF" w:rsidRDefault="00062CBF" w:rsidP="00062CBF">
      <w:pPr>
        <w:pStyle w:val="a3"/>
        <w:shd w:val="clear" w:color="auto" w:fill="FFFFFF"/>
        <w:spacing w:before="0" w:beforeAutospacing="0" w:after="0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Механизм перемещения каркаса располагается на потолке и выполнен таким образом, что обеспечивает возможность вертикального возвратно-поступательного перемещения каркаса вверх к потолку в положение хранения или вниз к полу в положение пользования, включает лебедку 3 с ручным или электромеханическим приводом, направляющие элементы 4-7, взаимодействующие с гибкой связью 9, которая соединяет каркас 1 с лебедкой 3 и включает горизонтальные потолочные участки (l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1</w:t>
      </w:r>
      <w:r>
        <w:rPr>
          <w:rFonts w:ascii="Tahoma" w:hAnsi="Tahoma" w:cs="Tahoma"/>
          <w:color w:val="000000"/>
          <w:sz w:val="12"/>
          <w:szCs w:val="12"/>
        </w:rPr>
        <w:t>,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2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3</w:t>
      </w:r>
      <w:r>
        <w:rPr>
          <w:rFonts w:ascii="Tahoma" w:hAnsi="Tahoma" w:cs="Tahoma"/>
          <w:color w:val="000000"/>
          <w:sz w:val="12"/>
          <w:szCs w:val="12"/>
        </w:rPr>
        <w:t> ,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4</w:t>
      </w:r>
      <w:r>
        <w:rPr>
          <w:rFonts w:ascii="Tahoma" w:hAnsi="Tahoma" w:cs="Tahoma"/>
          <w:color w:val="000000"/>
          <w:sz w:val="12"/>
          <w:szCs w:val="12"/>
        </w:rPr>
        <w:t>,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5</w:t>
      </w:r>
      <w:r>
        <w:rPr>
          <w:rFonts w:ascii="Tahoma" w:hAnsi="Tahoma" w:cs="Tahoma"/>
          <w:color w:val="000000"/>
          <w:sz w:val="12"/>
          <w:szCs w:val="12"/>
        </w:rPr>
        <w:t>) и вертикальные участки (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h</w:t>
      </w:r>
      <w:proofErr w:type="spellEnd"/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 1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2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3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4</w:t>
      </w:r>
      <w:r>
        <w:rPr>
          <w:rFonts w:ascii="Tahoma" w:hAnsi="Tahoma" w:cs="Tahoma"/>
          <w:color w:val="000000"/>
          <w:sz w:val="12"/>
          <w:szCs w:val="12"/>
        </w:rPr>
        <w:t>).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Вертикальные участки гибкой связи расположены на траектории перемещения углов каркаса, равны между собой и каждый из них по высоте не превышает длину горизонтального участка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1</w:t>
      </w:r>
      <w:r>
        <w:rPr>
          <w:rFonts w:ascii="Tahoma" w:hAnsi="Tahoma" w:cs="Tahoma"/>
          <w:color w:val="000000"/>
          <w:sz w:val="12"/>
          <w:szCs w:val="12"/>
        </w:rPr>
        <w:t xml:space="preserve">, расположенного между лебедкой и направляющим элементом 5. При этом наряду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прямоугольной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форма каркаса может быть в виде круга, усеченного круга, эллипса, квадрата и т.п.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Все направляющие элементы расположены на потолке, причем направляющие элементы 7 с горизонтальной осью вращения находятся на траектории перемещения вертикальных участков гибкой связи и напротив крепежных элементов 8, которые жестко закреплены на каркасе, предназначены для крепления каркаса к нижним концам вертикальных участков гибкой связи, имеющих подвижность в вертикальном направлении, а также позволяют при необходимости регулировать высоту вертикальных участков гибкой связи.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Конструкция крепежных элементов может быть различной.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увеличении высоты потолка помещения от низкого до среднего или высокого уровня на горизонтальном участке гибкой связи, находящемся между лебедкой и направляющим элементом 5, дополнительно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устанавливается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крайней мере один направляющий элемент 4 для обеспечения максимальной компактности и надежности механизма перемещения каркаса.</w:t>
      </w:r>
    </w:p>
    <w:p w:rsidR="00062CBF" w:rsidRDefault="00062CBF" w:rsidP="00062CBF">
      <w:pPr>
        <w:pStyle w:val="a3"/>
        <w:shd w:val="clear" w:color="auto" w:fill="FFFFFF"/>
        <w:spacing w:before="0" w:beforeAutospacing="0" w:after="0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горизонтальных участках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1</w:t>
      </w:r>
      <w:r>
        <w:rPr>
          <w:rFonts w:ascii="Tahoma" w:hAnsi="Tahoma" w:cs="Tahoma"/>
          <w:color w:val="000000"/>
          <w:sz w:val="12"/>
          <w:szCs w:val="12"/>
        </w:rPr>
        <w:t>,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2</w:t>
      </w:r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l</w:t>
      </w:r>
      <w:proofErr w:type="spellEnd"/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 3</w:t>
      </w:r>
      <w:r>
        <w:rPr>
          <w:rFonts w:ascii="Tahoma" w:hAnsi="Tahoma" w:cs="Tahoma"/>
          <w:color w:val="000000"/>
          <w:sz w:val="12"/>
          <w:szCs w:val="12"/>
        </w:rPr>
        <w:t>,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4</w:t>
      </w:r>
      <w:r>
        <w:rPr>
          <w:rFonts w:ascii="Tahoma" w:hAnsi="Tahoma" w:cs="Tahoma"/>
          <w:color w:val="000000"/>
          <w:sz w:val="12"/>
          <w:szCs w:val="12"/>
        </w:rPr>
        <w:t>,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5</w:t>
      </w:r>
      <w:r>
        <w:rPr>
          <w:rFonts w:ascii="Tahoma" w:hAnsi="Tahoma" w:cs="Tahoma"/>
          <w:color w:val="000000"/>
          <w:sz w:val="12"/>
          <w:szCs w:val="12"/>
        </w:rPr>
        <w:t>, а также вертикальных участках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1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2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3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4 </w:t>
      </w:r>
      <w:r>
        <w:rPr>
          <w:rFonts w:ascii="Tahoma" w:hAnsi="Tahoma" w:cs="Tahoma"/>
          <w:color w:val="000000"/>
          <w:sz w:val="12"/>
          <w:szCs w:val="12"/>
        </w:rPr>
        <w:t xml:space="preserve">в качестве гибкой связи используются канаты, приводные цепи или тросы, а в качестве направляющих элементов 4-6 - канатные блоки, звездочки или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трособлоки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 вертикальной осью вращения, соответственно. В качестве направляющих элементов 7 - канатные блоки, звездочки или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трособлоки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 горизонтальной осью вращения. На горизонтальном участке l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1</w:t>
      </w:r>
      <w:r>
        <w:rPr>
          <w:rFonts w:ascii="Tahoma" w:hAnsi="Tahoma" w:cs="Tahoma"/>
          <w:color w:val="000000"/>
          <w:sz w:val="12"/>
          <w:szCs w:val="12"/>
        </w:rPr>
        <w:t>, расположенном между лебедкой и направляющим элементом 5, в качестве гибкой связи может использоваться стропа.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необходимости из каркаса откидываются опорные ножки 10, которые закреплены на каркасе и предназначены для предотвращения его раскачивания в положении пользования. Конструкция опорных ножек может быть различной.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Подъем и спуск каркаса осуществляется с помощью лебедки 3 с ручным или электромеханическим приводом. Для предотвращения самопроизвольного спуска или подъема каркаса применяется самотормозящаяся лебедка.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Высота кровати предлагаемой конструкции в положении хранения (крайнее верхнее) равна высоте каркаса с матрасом (170-200 мм).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Изобретение поясняется чертежами, где на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фиг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.1 представлена конструкция подъемной кровати с механизмом перемещения каркаса для помещений с низкими (а), средними (б) или высокими (в) потолками, вид сверху; на фиг.2 и фиг.3 - вид кровати для помещений с потолками средней высоты в положении пользования и хранения соответственно.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Работа подъемной кровати поясняется на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фиг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.2, 3.</w:t>
      </w:r>
    </w:p>
    <w:p w:rsidR="00062CBF" w:rsidRDefault="00062CBF" w:rsidP="00062CBF">
      <w:pPr>
        <w:pStyle w:val="a3"/>
        <w:shd w:val="clear" w:color="auto" w:fill="FFFFFF"/>
        <w:spacing w:before="0" w:beforeAutospacing="0" w:after="0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подъема каркаса 1 из положения пользования в положение хранения необходимо намотать на барабан лебедки 3 горизонтальный участок гибкой связи 9, расположенный между лебедкой и направляющим элементом 5. При этом вертикальные участки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1</w:t>
      </w:r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h</w:t>
      </w:r>
      <w:proofErr w:type="spellEnd"/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 2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3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4 </w:t>
      </w:r>
      <w:r>
        <w:rPr>
          <w:rFonts w:ascii="Tahoma" w:hAnsi="Tahoma" w:cs="Tahoma"/>
          <w:color w:val="000000"/>
          <w:sz w:val="12"/>
          <w:szCs w:val="12"/>
        </w:rPr>
        <w:t>гибкой связи по направляющим элементам 7 переместятся вверх. Так как каркас прикреплен к нижним концам вертикальных участков гибкой связи, то в этом случае он также переместится вверх и займет свое верхнее положение под потолком. Для перемещения каркаса 1 в положение пользования необходимо с барабана лебедки 3 освободить ранее намотанный участок гибкой связи 9. При этом вертикальные участки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1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2</w:t>
      </w:r>
      <w:r>
        <w:rPr>
          <w:rFonts w:ascii="Tahoma" w:hAnsi="Tahoma" w:cs="Tahoma"/>
          <w:color w:val="000000"/>
          <w:sz w:val="12"/>
          <w:szCs w:val="12"/>
        </w:rPr>
        <w:t> 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3</w:t>
      </w:r>
      <w:r>
        <w:rPr>
          <w:rFonts w:ascii="Tahoma" w:hAnsi="Tahoma" w:cs="Tahoma"/>
          <w:color w:val="000000"/>
          <w:sz w:val="12"/>
          <w:szCs w:val="12"/>
        </w:rPr>
        <w:t>, h</w:t>
      </w:r>
      <w:r>
        <w:rPr>
          <w:rFonts w:ascii="Tahoma" w:hAnsi="Tahoma" w:cs="Tahoma"/>
          <w:color w:val="000000"/>
          <w:sz w:val="12"/>
          <w:szCs w:val="12"/>
          <w:bdr w:val="none" w:sz="0" w:space="0" w:color="auto" w:frame="1"/>
          <w:vertAlign w:val="subscript"/>
        </w:rPr>
        <w:t>4 </w:t>
      </w:r>
      <w:r>
        <w:rPr>
          <w:rFonts w:ascii="Tahoma" w:hAnsi="Tahoma" w:cs="Tahoma"/>
          <w:color w:val="000000"/>
          <w:sz w:val="12"/>
          <w:szCs w:val="12"/>
        </w:rPr>
        <w:t>гибкой связи 9 путем взаимодействия с направляющими элементами 7 переместятся вниз к полу. Каркас также опустится и займет положение пользования. При необходимости устранения раскачивания каркаса в положении пользования можно откинуть опорные ножки 10 и каркас будет опираться на пол.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Как видно, предлагаемая конструкция механизма перемещения каркаса отличается удобством при эксплуатации и позволяет легко осуществлять вертикальное перемещение каркаса с матрасом в положение хранения, максимально высвобождая полезную площадь помещения. При необходимости кровать легко может быть возвращена обратно в положение пользования.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этом конструкция механизма перемещения каркаса достаточно проста, компактна, не занимает много места, располагаться может в любом месте на потолке, что позволяет максимально высвободить полезную площадь любого помещения и тем самым улучшить бытовые условия проживания в малогабаритных квартирах. Для монтажа кровати предлагаемой конструкции необходимо только лишь место на потолке, по размеру немного превышающее площадь каркаса с матрасом.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Высота предлагаемой конструкции в положении хранения равна высоте каркаса с матрасом и составляет 170-200 мм, что позволяет успешно устанавливать ее в помещениях с различной высотой потолков, в том числе и низкими. А компактность и небольшая высота конструкции в положении хранения делают возможным ее различное декорирование.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Заявляемое изобретение удовлетворяет критерию «новизна», так как впервые предложено устройство кровати, в котором механизм перемещения каркаса полностью располагается на потолке, что позволяет поднять каркас с матрасом под потолок и максимально высвободить полезную площадь помещения.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Заявляемое изобретение удовлетворяет критерию «изобретательский уровень», так как в нем не используются известные технические решения.</w:t>
      </w:r>
    </w:p>
    <w:p w:rsidR="00062CBF" w:rsidRDefault="00062CBF" w:rsidP="00062CBF">
      <w:pPr>
        <w:pStyle w:val="a3"/>
        <w:shd w:val="clear" w:color="auto" w:fill="FFFFFF"/>
        <w:spacing w:before="67" w:beforeAutospacing="0" w:after="168" w:afterAutospacing="0" w:line="183" w:lineRule="atLeast"/>
        <w:ind w:firstLine="33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Соответствие критерию «пригодность для промышленного применения» доказывается тем, что конструкция предлагаемой подъемной кровати достаточно проста, может быть легко изготовлена в промышленных условиях и успешно установлена в любых помещениях.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Простота, компактность и удобство предлагаемой подъемной кровати подтверждены опытным образцом.</w:t>
      </w:r>
      <w:proofErr w:type="gramEnd"/>
    </w:p>
    <w:p w:rsidR="00062CBF" w:rsidRPr="00062CBF" w:rsidRDefault="00062CBF"/>
    <w:sectPr w:rsidR="00062CBF" w:rsidRPr="00062CBF" w:rsidSect="004B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062CBF"/>
    <w:rsid w:val="00062CBF"/>
    <w:rsid w:val="00080179"/>
    <w:rsid w:val="004B6C96"/>
    <w:rsid w:val="00B4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mgkononova</dc:creator>
  <cp:keywords/>
  <dc:description/>
  <cp:lastModifiedBy/>
  <cp:revision>1</cp:revision>
  <dcterms:created xsi:type="dcterms:W3CDTF">2019-08-02T07:18:00Z</dcterms:created>
</cp:coreProperties>
</file>